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 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24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上级</w:t>
      </w:r>
      <w:r>
        <w:rPr>
          <w:rFonts w:hint="eastAsia" w:ascii="方正小标宋简体" w:eastAsia="方正小标宋简体"/>
          <w:sz w:val="44"/>
          <w:szCs w:val="44"/>
        </w:rPr>
        <w:t>转移支付情况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说明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上级财政部门</w:t>
      </w:r>
      <w:r>
        <w:rPr>
          <w:rFonts w:hint="eastAsia" w:ascii="仿宋_GB2312" w:eastAsia="仿宋_GB2312"/>
          <w:sz w:val="32"/>
          <w:szCs w:val="32"/>
        </w:rPr>
        <w:t>下达我市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一般公共预算</w:t>
      </w:r>
      <w:r>
        <w:rPr>
          <w:rFonts w:hint="eastAsia" w:ascii="仿宋_GB2312" w:eastAsia="仿宋_GB2312"/>
          <w:sz w:val="32"/>
          <w:szCs w:val="32"/>
        </w:rPr>
        <w:t>转移支付资金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196042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主要项目是：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返还性收入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12715万元。其中：所得税基数返还收入2191万元；成品油税费改革税收返还收入254万元；增值税税收返还收入4429万元；消费税税收返还收入4万元；增值税“五五分享”税收返还收入3551万元。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一般性转移支付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177411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eastAsia="zh-CN"/>
        </w:rPr>
        <w:t>其中：均衡性转移支付收入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35251万元；巩固脱贫攻坚成果衔接乡村振兴转移支付收入3315万元。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5916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eastAsia="zh-CN"/>
        </w:rPr>
        <w:t>其中：一般公共服务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1万元；卫生健康资金360万元；农林水收入1433万元。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ACDE4D"/>
    <w:multiLevelType w:val="singleLevel"/>
    <w:tmpl w:val="9AACDE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277C2137"/>
    <w:rsid w:val="277C2137"/>
    <w:rsid w:val="28CF4308"/>
    <w:rsid w:val="29F21E5A"/>
    <w:rsid w:val="3CAE2B10"/>
    <w:rsid w:val="547B5363"/>
    <w:rsid w:val="6FA47EBF"/>
    <w:rsid w:val="77BF4D9B"/>
    <w:rsid w:val="7B11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104</Characters>
  <Lines>0</Lines>
  <Paragraphs>0</Paragraphs>
  <TotalTime>4</TotalTime>
  <ScaleCrop>false</ScaleCrop>
  <LinksUpToDate>false</LinksUpToDate>
  <CharactersWithSpaces>106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2023-02-14T09:20:00Z</dcterms:created>
  <dc:creator>Administrator</dc:creator>
  <cp:lastModifiedBy>高瑛焓</cp:lastModifiedBy>
  <dcterms:modified xsi:type="dcterms:W3CDTF">2024-01-30T01:13:51Z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1DE11FB18D9D4D449743846801043A3C_13</vt:lpwstr>
  </property>
</Properties>
</file>